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1FE1" w14:textId="17CCE11E" w:rsidR="007C70B4" w:rsidRPr="00356FB1" w:rsidRDefault="00D97B14" w:rsidP="00356FB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206B675" wp14:editId="76925B53">
            <wp:extent cx="1666875" cy="600075"/>
            <wp:effectExtent l="0" t="0" r="9525" b="9525"/>
            <wp:docPr id="1" name="Picture 1" descr="cid:image012.png@01CE9E7B.80796B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12.png@01CE9E7B.80796B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B8B" w:rsidRPr="00356F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HE Course information sheet template</w:t>
      </w:r>
      <w:r w:rsidR="000279F8" w:rsidRPr="00356F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62B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</w:t>
      </w:r>
      <w:r w:rsidR="003F07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-2</w:t>
      </w:r>
      <w:r w:rsidR="00962BA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6"/>
      </w:tblGrid>
      <w:tr w:rsidR="003D2B5E" w:rsidRPr="003D2B5E" w14:paraId="0BF3E43D" w14:textId="77777777" w:rsidTr="00AC2893">
        <w:tc>
          <w:tcPr>
            <w:tcW w:w="90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14B5A2" w14:textId="77777777" w:rsidR="003D2B5E" w:rsidRDefault="006658FA" w:rsidP="00AC28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D0CECE" w:themeColor="background2" w:themeShade="E6"/>
                <w:sz w:val="27"/>
                <w:szCs w:val="27"/>
              </w:rPr>
            </w:pPr>
            <w:r w:rsidRPr="00356FB1">
              <w:rPr>
                <w:rFonts w:ascii="Arial" w:hAnsi="Arial" w:cs="Arial"/>
                <w:b/>
                <w:bCs/>
                <w:color w:val="2E74B5" w:themeColor="accent1" w:themeShade="BF"/>
                <w:sz w:val="27"/>
                <w:szCs w:val="27"/>
                <w:u w:val="single"/>
              </w:rPr>
              <w:t>COURSE TITLE</w:t>
            </w:r>
            <w:r w:rsidR="003D2B5E" w:rsidRPr="00356FB1">
              <w:rPr>
                <w:rFonts w:ascii="Arial" w:hAnsi="Arial" w:cs="Arial"/>
                <w:b/>
                <w:bCs/>
                <w:color w:val="2E74B5" w:themeColor="accent1" w:themeShade="BF"/>
                <w:sz w:val="27"/>
                <w:szCs w:val="27"/>
                <w:u w:val="single"/>
              </w:rPr>
              <w:t>:</w:t>
            </w:r>
            <w:r w:rsidR="003D2B5E" w:rsidRPr="00356FB1">
              <w:rPr>
                <w:rFonts w:ascii="Arial" w:hAnsi="Arial" w:cs="Arial"/>
                <w:b/>
                <w:bCs/>
                <w:color w:val="2E74B5" w:themeColor="accent1" w:themeShade="BF"/>
                <w:sz w:val="27"/>
                <w:szCs w:val="27"/>
              </w:rPr>
              <w:t xml:space="preserve"> </w:t>
            </w:r>
          </w:p>
          <w:p w14:paraId="3B88D8DA" w14:textId="14066DA1" w:rsidR="00AC2893" w:rsidRPr="00356FB1" w:rsidRDefault="00CD43DD" w:rsidP="00AC2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H</w:t>
            </w:r>
            <w:r w:rsidR="008107A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igher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N</w:t>
            </w:r>
            <w:r w:rsidR="008107A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ational 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C</w:t>
            </w:r>
            <w:r w:rsidR="008107A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ertificate</w:t>
            </w:r>
            <w:r w:rsidR="00962BA4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&amp; Higher National Diploma</w:t>
            </w:r>
            <w:r w:rsidR="008107A5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in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AB5969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Performing Arts (Musical Theatre)</w:t>
            </w:r>
          </w:p>
        </w:tc>
      </w:tr>
      <w:tr w:rsidR="00D97B14" w:rsidRPr="003D2B5E" w14:paraId="3BE1F422" w14:textId="77777777" w:rsidTr="00AC2893">
        <w:tc>
          <w:tcPr>
            <w:tcW w:w="901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6879EC0" w14:textId="77777777" w:rsidR="00D97B14" w:rsidRPr="00356FB1" w:rsidRDefault="00514C20" w:rsidP="00F63A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E74B5" w:themeColor="accent1" w:themeShade="BF"/>
                <w:sz w:val="27"/>
                <w:szCs w:val="27"/>
                <w:u w:val="single"/>
              </w:rPr>
            </w:pPr>
            <w:r w:rsidRPr="00356FB1">
              <w:rPr>
                <w:rFonts w:ascii="Arial" w:hAnsi="Arial" w:cs="Arial"/>
                <w:b/>
                <w:color w:val="2E74B5" w:themeColor="accent1" w:themeShade="BF"/>
                <w:sz w:val="27"/>
                <w:szCs w:val="27"/>
                <w:u w:val="single"/>
              </w:rPr>
              <w:t>COURSE</w:t>
            </w:r>
            <w:r w:rsidR="00F63A0B" w:rsidRPr="00356FB1">
              <w:rPr>
                <w:rFonts w:ascii="Arial" w:hAnsi="Arial" w:cs="Arial"/>
                <w:b/>
                <w:color w:val="2E74B5" w:themeColor="accent1" w:themeShade="BF"/>
                <w:sz w:val="27"/>
                <w:szCs w:val="27"/>
                <w:u w:val="single"/>
              </w:rPr>
              <w:t xml:space="preserve"> </w:t>
            </w:r>
            <w:r w:rsidR="00D97B14" w:rsidRPr="00356FB1">
              <w:rPr>
                <w:rFonts w:ascii="Arial" w:hAnsi="Arial" w:cs="Arial"/>
                <w:b/>
                <w:color w:val="2E74B5" w:themeColor="accent1" w:themeShade="BF"/>
                <w:sz w:val="27"/>
                <w:szCs w:val="27"/>
                <w:u w:val="single"/>
              </w:rPr>
              <w:t>INFORMATION:</w:t>
            </w:r>
          </w:p>
        </w:tc>
      </w:tr>
      <w:tr w:rsidR="00226B8B" w:rsidRPr="003D2B5E" w14:paraId="78FE0AE8" w14:textId="77777777" w:rsidTr="00AC2893">
        <w:trPr>
          <w:trHeight w:val="284"/>
        </w:trPr>
        <w:tc>
          <w:tcPr>
            <w:tcW w:w="9016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65F81A9" w14:textId="5A3BC037" w:rsidR="00226B8B" w:rsidRPr="006658FA" w:rsidRDefault="00226B8B" w:rsidP="00047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9C9C9" w:themeColor="accent3" w:themeTint="99"/>
                <w:sz w:val="27"/>
                <w:szCs w:val="27"/>
              </w:rPr>
            </w:pPr>
            <w:r w:rsidRPr="00514C20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Qualification Obtained</w:t>
            </w:r>
            <w:r w:rsidRPr="006658F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:</w:t>
            </w:r>
            <w:r w:rsidRPr="00226B8B">
              <w:rPr>
                <w:rFonts w:ascii="Arial" w:hAnsi="Arial" w:cs="Arial"/>
                <w:b/>
                <w:bCs/>
                <w:color w:val="0070C0"/>
                <w:sz w:val="27"/>
                <w:szCs w:val="27"/>
              </w:rPr>
              <w:t xml:space="preserve"> </w:t>
            </w:r>
            <w:r w:rsidRPr="00226B8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8107A5" w:rsidRPr="008107A5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Higher National Certificate in </w:t>
            </w:r>
            <w:r w:rsidR="00AB5969">
              <w:rPr>
                <w:rFonts w:ascii="Arial" w:hAnsi="Arial" w:cs="Arial"/>
                <w:b/>
                <w:color w:val="0070C0"/>
                <w:sz w:val="24"/>
                <w:szCs w:val="24"/>
              </w:rPr>
              <w:t>Performing Arts</w:t>
            </w:r>
            <w:r w:rsidR="00962B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&amp; </w:t>
            </w:r>
            <w:r w:rsidR="00962BA4" w:rsidRPr="008107A5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Higher National </w:t>
            </w:r>
            <w:r w:rsidR="00962BA4">
              <w:rPr>
                <w:rFonts w:ascii="Arial" w:hAnsi="Arial" w:cs="Arial"/>
                <w:b/>
                <w:color w:val="0070C0"/>
                <w:sz w:val="24"/>
                <w:szCs w:val="24"/>
              </w:rPr>
              <w:t>Diploma</w:t>
            </w:r>
            <w:r w:rsidR="00962BA4" w:rsidRPr="008107A5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in </w:t>
            </w:r>
            <w:r w:rsidR="00962BA4">
              <w:rPr>
                <w:rFonts w:ascii="Arial" w:hAnsi="Arial" w:cs="Arial"/>
                <w:b/>
                <w:color w:val="0070C0"/>
                <w:sz w:val="24"/>
                <w:szCs w:val="24"/>
              </w:rPr>
              <w:t>Performing Arts</w:t>
            </w:r>
          </w:p>
        </w:tc>
      </w:tr>
      <w:tr w:rsidR="003D2B5E" w:rsidRPr="003D2B5E" w14:paraId="12169B14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4F5504E" w14:textId="77777777" w:rsidR="003D2B5E" w:rsidRPr="006658FA" w:rsidRDefault="00226B8B" w:rsidP="00047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Awarding Body: </w:t>
            </w:r>
            <w:r w:rsidR="008107A5">
              <w:rPr>
                <w:rFonts w:ascii="Arial" w:hAnsi="Arial" w:cs="Arial"/>
                <w:b/>
                <w:color w:val="0070C0"/>
                <w:sz w:val="24"/>
                <w:szCs w:val="24"/>
              </w:rPr>
              <w:t>Pearson</w:t>
            </w:r>
          </w:p>
        </w:tc>
      </w:tr>
      <w:tr w:rsidR="00226B8B" w:rsidRPr="003D2B5E" w14:paraId="4D46C9E5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8480079" w14:textId="2344F910" w:rsidR="00226B8B" w:rsidRPr="006658FA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>Course Code</w:t>
            </w:r>
            <w:r w:rsidR="00514C20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>:</w:t>
            </w:r>
            <w:r w:rsidR="008107A5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="00AB5969" w:rsidRPr="00AB5969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>CM503</w:t>
            </w:r>
          </w:p>
        </w:tc>
      </w:tr>
      <w:tr w:rsidR="00226B8B" w:rsidRPr="003D2B5E" w14:paraId="607A60DD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FBC28EA" w14:textId="2A54FF90" w:rsidR="00226B8B" w:rsidRPr="006658FA" w:rsidRDefault="00226B8B" w:rsidP="00D10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>UCAS Code:</w:t>
            </w:r>
            <w:r w:rsidRPr="006658FA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 w:rsidR="00AB5969" w:rsidRPr="00AB5969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>9FTL</w:t>
            </w:r>
          </w:p>
        </w:tc>
      </w:tr>
      <w:tr w:rsidR="00226B8B" w:rsidRPr="003D2B5E" w14:paraId="07A6A87F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1E2DF8B" w14:textId="77777777" w:rsidR="00226B8B" w:rsidRPr="006658FA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Attendance mode: FT</w:t>
            </w:r>
          </w:p>
        </w:tc>
      </w:tr>
      <w:tr w:rsidR="00226B8B" w:rsidRPr="003D2B5E" w14:paraId="1157784D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F9AD12D" w14:textId="77777777" w:rsidR="00226B8B" w:rsidRPr="006658FA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Duration: </w:t>
            </w:r>
            <w:r w:rsidR="008107A5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1 year</w:t>
            </w:r>
          </w:p>
        </w:tc>
      </w:tr>
      <w:tr w:rsidR="00226B8B" w:rsidRPr="003D2B5E" w14:paraId="48616A5E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3AEEA5A" w14:textId="2E42C5B2" w:rsidR="00226B8B" w:rsidRPr="006658FA" w:rsidRDefault="00226B8B" w:rsidP="00047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Start date</w:t>
            </w:r>
            <w:r w:rsidR="00514C20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:</w:t>
            </w:r>
            <w:r w:rsidR="00954362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8107A5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September 20</w:t>
            </w:r>
            <w:r w:rsidR="00962BA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20</w:t>
            </w:r>
          </w:p>
        </w:tc>
      </w:tr>
      <w:tr w:rsidR="00226B8B" w:rsidRPr="003D2B5E" w14:paraId="494DA76B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C3A72A9" w14:textId="6A6C5903" w:rsidR="00226B8B" w:rsidRPr="006658FA" w:rsidRDefault="00226B8B" w:rsidP="00047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End Date</w:t>
            </w:r>
            <w:r w:rsidR="00514C20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:</w:t>
            </w:r>
            <w:r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8107A5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July 202</w:t>
            </w:r>
            <w:r w:rsidR="00962BA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1</w:t>
            </w:r>
          </w:p>
        </w:tc>
      </w:tr>
      <w:tr w:rsidR="00226B8B" w:rsidRPr="003D2B5E" w14:paraId="3994EF5E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31C8E89" w14:textId="5221390E" w:rsidR="00226B8B" w:rsidRPr="006658FA" w:rsidRDefault="00226B8B" w:rsidP="00AC2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Fees: </w:t>
            </w:r>
            <w:r w:rsidR="008107A5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£6,</w:t>
            </w:r>
            <w:r w:rsidR="00962BA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465</w:t>
            </w:r>
          </w:p>
        </w:tc>
      </w:tr>
      <w:tr w:rsidR="00226B8B" w:rsidRPr="003D2B5E" w14:paraId="6DBBA262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1AFBB92" w14:textId="5BA379A8" w:rsidR="00226B8B" w:rsidRPr="00954362" w:rsidRDefault="00226B8B" w:rsidP="00047F6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No of Places: </w:t>
            </w:r>
            <w:r w:rsidR="008107A5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2</w:t>
            </w:r>
            <w:r w:rsidR="00962BA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0 (HNC) &amp; 11 (HND)</w:t>
            </w:r>
          </w:p>
        </w:tc>
      </w:tr>
      <w:tr w:rsidR="00226B8B" w:rsidRPr="003D2B5E" w14:paraId="1AF5AE9F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2517B58" w14:textId="637627D1" w:rsidR="00226B8B" w:rsidRPr="006658FA" w:rsidRDefault="00226B8B" w:rsidP="00047F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Progression: </w:t>
            </w:r>
            <w:r w:rsidR="00962BA4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Degree Top Up Programmes</w:t>
            </w:r>
            <w:r w:rsidR="008107A5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in </w:t>
            </w:r>
            <w:r w:rsidR="00AB5969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Performing Arts</w:t>
            </w:r>
            <w:r w:rsidR="008107A5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AB5969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&amp;</w:t>
            </w:r>
            <w:r w:rsidR="008107A5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AB5969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dance</w:t>
            </w:r>
            <w:r w:rsidR="009618DC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-</w:t>
            </w:r>
            <w:r w:rsidR="00AB5969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related employment </w:t>
            </w:r>
            <w:r w:rsidR="009618DC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opportunities</w:t>
            </w:r>
          </w:p>
        </w:tc>
      </w:tr>
      <w:tr w:rsidR="00226B8B" w:rsidRPr="003D2B5E" w14:paraId="423C3945" w14:textId="77777777" w:rsidTr="006658FA">
        <w:trPr>
          <w:trHeight w:val="284"/>
        </w:trPr>
        <w:tc>
          <w:tcPr>
            <w:tcW w:w="90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E38C075" w14:textId="77777777" w:rsidR="00226B8B" w:rsidRPr="006658FA" w:rsidRDefault="0006301A" w:rsidP="00AC28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How to Apply: C</w:t>
            </w:r>
            <w:r w:rsidR="00226B8B"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ollege</w:t>
            </w:r>
            <w:r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226B8B" w:rsidRPr="006658FA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(web)</w:t>
            </w:r>
          </w:p>
        </w:tc>
      </w:tr>
      <w:tr w:rsidR="00226B8B" w:rsidRPr="003D2B5E" w14:paraId="64390E82" w14:textId="77777777" w:rsidTr="006658FA">
        <w:trPr>
          <w:trHeight w:val="340"/>
        </w:trPr>
        <w:tc>
          <w:tcPr>
            <w:tcW w:w="9016" w:type="dxa"/>
            <w:tcBorders>
              <w:top w:val="single" w:sz="24" w:space="0" w:color="auto"/>
            </w:tcBorders>
          </w:tcPr>
          <w:p w14:paraId="1B6DF412" w14:textId="77777777" w:rsidR="006658FA" w:rsidRPr="003D2B5E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21242"/>
                <w:sz w:val="27"/>
                <w:szCs w:val="27"/>
              </w:rPr>
            </w:pPr>
            <w:r w:rsidRPr="006658FA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About this Course:</w:t>
            </w:r>
          </w:p>
        </w:tc>
      </w:tr>
      <w:tr w:rsidR="00226B8B" w:rsidRPr="003D2B5E" w14:paraId="0DC59C1C" w14:textId="77777777" w:rsidTr="002C270C">
        <w:trPr>
          <w:trHeight w:val="578"/>
        </w:trPr>
        <w:tc>
          <w:tcPr>
            <w:tcW w:w="9016" w:type="dxa"/>
          </w:tcPr>
          <w:p w14:paraId="5CC74B9D" w14:textId="5115FCA9" w:rsidR="002C270C" w:rsidRDefault="008261C0" w:rsidP="002C27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261C0">
              <w:rPr>
                <w:rFonts w:ascii="Arial" w:hAnsi="Arial" w:cs="Arial"/>
                <w:sz w:val="18"/>
                <w:szCs w:val="18"/>
              </w:rPr>
              <w:t xml:space="preserve">The purpose of the qualification is to develop students as professional, self-reflecting individuals able to meet the demands of employers in the Performing Arts and adapt to a constantly changing world. </w:t>
            </w:r>
            <w:r w:rsidR="005B2349">
              <w:rPr>
                <w:rFonts w:ascii="Arial" w:hAnsi="Arial" w:cs="Arial"/>
                <w:sz w:val="18"/>
                <w:szCs w:val="18"/>
              </w:rPr>
              <w:t>Th</w:t>
            </w:r>
            <w:r w:rsidR="002C270C">
              <w:rPr>
                <w:rFonts w:ascii="Arial" w:hAnsi="Arial" w:cs="Arial"/>
                <w:sz w:val="18"/>
                <w:szCs w:val="18"/>
              </w:rPr>
              <w:t>is course looks to;</w:t>
            </w:r>
          </w:p>
          <w:p w14:paraId="73A00E01" w14:textId="4F2E0A3F" w:rsidR="005566C9" w:rsidRDefault="002C270C" w:rsidP="002C270C">
            <w:pPr>
              <w:pStyle w:val="ListParagraph"/>
              <w:numPr>
                <w:ilvl w:val="0"/>
                <w:numId w:val="8"/>
              </w:numPr>
              <w:spacing w:after="400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2C270C">
              <w:rPr>
                <w:rFonts w:ascii="Arial" w:hAnsi="Arial" w:cs="Arial"/>
                <w:sz w:val="18"/>
                <w:szCs w:val="18"/>
              </w:rPr>
              <w:t>equip students with Performing Arts skills, knowledge and the understanding necessary to achieve high performance in the global Performing Arts environment</w:t>
            </w:r>
          </w:p>
          <w:p w14:paraId="344BF1F9" w14:textId="2481A419" w:rsidR="002C270C" w:rsidRDefault="002C270C" w:rsidP="002C270C">
            <w:pPr>
              <w:pStyle w:val="ListParagraph"/>
              <w:numPr>
                <w:ilvl w:val="0"/>
                <w:numId w:val="8"/>
              </w:numPr>
              <w:spacing w:after="400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2C270C">
              <w:rPr>
                <w:rFonts w:ascii="Arial" w:hAnsi="Arial" w:cs="Arial"/>
                <w:sz w:val="18"/>
                <w:szCs w:val="18"/>
              </w:rPr>
              <w:t>provide insight and understanding into the diversity of roles within the Performing Arts, recognising the importance of collaboration at all levels</w:t>
            </w:r>
          </w:p>
          <w:p w14:paraId="427B42FC" w14:textId="71D45B89" w:rsidR="00C143E3" w:rsidRPr="00C143E3" w:rsidRDefault="002C270C" w:rsidP="00C143E3">
            <w:pPr>
              <w:pStyle w:val="ListParagraph"/>
              <w:numPr>
                <w:ilvl w:val="0"/>
                <w:numId w:val="8"/>
              </w:numPr>
              <w:spacing w:after="400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2C270C">
              <w:rPr>
                <w:rFonts w:ascii="Arial" w:hAnsi="Arial" w:cs="Arial"/>
                <w:sz w:val="18"/>
                <w:szCs w:val="18"/>
              </w:rPr>
              <w:t>provide opportunities for students to enter or progress in employment in Performing Arts, or progress to higher education qualifications such as an Honours degree in Performing Arts or a related area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26B8B" w:rsidRPr="003D2B5E" w14:paraId="0BED8FB8" w14:textId="77777777" w:rsidTr="006658FA">
        <w:trPr>
          <w:trHeight w:val="340"/>
        </w:trPr>
        <w:tc>
          <w:tcPr>
            <w:tcW w:w="9016" w:type="dxa"/>
          </w:tcPr>
          <w:p w14:paraId="71029A7D" w14:textId="77777777" w:rsidR="00226B8B" w:rsidRPr="00226B8B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</w:pPr>
            <w:r w:rsidRPr="00226B8B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Entry Requirements:</w:t>
            </w:r>
          </w:p>
        </w:tc>
      </w:tr>
      <w:tr w:rsidR="00226B8B" w:rsidRPr="003D2B5E" w14:paraId="11EA46C4" w14:textId="77777777" w:rsidTr="009618DC">
        <w:trPr>
          <w:trHeight w:val="452"/>
        </w:trPr>
        <w:tc>
          <w:tcPr>
            <w:tcW w:w="9016" w:type="dxa"/>
          </w:tcPr>
          <w:p w14:paraId="1C95C9DB" w14:textId="0DCE5463" w:rsidR="00226B8B" w:rsidRDefault="002C270C" w:rsidP="009618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2D9E">
              <w:rPr>
                <w:rFonts w:ascii="Arial" w:hAnsi="Arial" w:cs="Arial"/>
                <w:sz w:val="18"/>
                <w:szCs w:val="18"/>
              </w:rPr>
              <w:t xml:space="preserve">Applications to the HNC in </w:t>
            </w:r>
            <w:r w:rsidR="009D3A9B">
              <w:rPr>
                <w:rFonts w:ascii="Arial" w:hAnsi="Arial" w:cs="Arial"/>
                <w:sz w:val="18"/>
                <w:szCs w:val="18"/>
              </w:rPr>
              <w:t>Performing Arts</w:t>
            </w:r>
            <w:r w:rsidRPr="00D32D9E">
              <w:rPr>
                <w:rFonts w:ascii="Arial" w:hAnsi="Arial" w:cs="Arial"/>
                <w:sz w:val="18"/>
                <w:szCs w:val="18"/>
              </w:rPr>
              <w:t xml:space="preserve"> are considered on their individual merits but a pre-requisite for all learners joining the programme is a GCSE in English and Maths. Alongside this, there are some desired criteria for applicants, </w:t>
            </w:r>
            <w:proofErr w:type="gramStart"/>
            <w:r w:rsidRPr="00D32D9E">
              <w:rPr>
                <w:rFonts w:ascii="Arial" w:hAnsi="Arial" w:cs="Arial"/>
                <w:sz w:val="18"/>
                <w:szCs w:val="18"/>
              </w:rPr>
              <w:t>predominantly;</w:t>
            </w:r>
            <w:proofErr w:type="gramEnd"/>
          </w:p>
          <w:p w14:paraId="36921CB2" w14:textId="3F880FC4" w:rsidR="002C270C" w:rsidRDefault="005F11C7" w:rsidP="002C270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DMM grade or above in </w:t>
            </w:r>
            <w:r w:rsidRPr="009D3A9B">
              <w:rPr>
                <w:rFonts w:ascii="Arial" w:hAnsi="Arial" w:cs="Arial"/>
                <w:sz w:val="18"/>
                <w:szCs w:val="18"/>
              </w:rPr>
              <w:t>(BTEC Level 3 Extended Diploma) in subjects including music.</w:t>
            </w:r>
          </w:p>
          <w:p w14:paraId="721EF0D2" w14:textId="77777777" w:rsidR="00962BA4" w:rsidRDefault="00962BA4" w:rsidP="00962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HND applications are accepted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on the basis 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previously attained HNC qualification in the same Performing Arts pathway.</w:t>
            </w:r>
          </w:p>
          <w:p w14:paraId="6602BBC4" w14:textId="7F535565" w:rsidR="00C143E3" w:rsidRPr="00962BA4" w:rsidRDefault="00C143E3" w:rsidP="00962BA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addition, a</w:t>
            </w:r>
            <w:r>
              <w:rPr>
                <w:rFonts w:ascii="Arial" w:hAnsi="Arial" w:cs="Arial"/>
                <w:sz w:val="18"/>
                <w:szCs w:val="18"/>
              </w:rPr>
              <w:t xml:space="preserve">uditions also form </w:t>
            </w:r>
            <w:r>
              <w:rPr>
                <w:rFonts w:ascii="Arial" w:hAnsi="Arial" w:cs="Arial"/>
                <w:sz w:val="18"/>
                <w:szCs w:val="18"/>
              </w:rPr>
              <w:t xml:space="preserve">a key </w:t>
            </w:r>
            <w:r>
              <w:rPr>
                <w:rFonts w:ascii="Arial" w:hAnsi="Arial" w:cs="Arial"/>
                <w:sz w:val="18"/>
                <w:szCs w:val="18"/>
              </w:rPr>
              <w:t>part of the application process to the Performing Arts programme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658FA" w:rsidRPr="003D2B5E" w14:paraId="7A38B3AE" w14:textId="77777777" w:rsidTr="006658FA">
        <w:trPr>
          <w:trHeight w:val="340"/>
        </w:trPr>
        <w:tc>
          <w:tcPr>
            <w:tcW w:w="9016" w:type="dxa"/>
          </w:tcPr>
          <w:p w14:paraId="63A98AA4" w14:textId="77777777" w:rsidR="006658FA" w:rsidRPr="00226B8B" w:rsidRDefault="006658FA" w:rsidP="00665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D9D9D9" w:themeColor="background1" w:themeShade="D9"/>
                <w:sz w:val="18"/>
                <w:szCs w:val="18"/>
                <w:u w:val="single"/>
              </w:rPr>
            </w:pPr>
            <w:r w:rsidRPr="006658FA">
              <w:rPr>
                <w:rFonts w:ascii="Arial" w:hAnsi="Arial" w:cs="Arial"/>
                <w:b/>
                <w:color w:val="C00000"/>
                <w:sz w:val="27"/>
                <w:szCs w:val="27"/>
              </w:rPr>
              <w:t xml:space="preserve">Target Audience: </w:t>
            </w:r>
          </w:p>
        </w:tc>
      </w:tr>
      <w:tr w:rsidR="006658FA" w:rsidRPr="003D2B5E" w14:paraId="23145A1E" w14:textId="77777777" w:rsidTr="003D2B5E">
        <w:trPr>
          <w:trHeight w:val="517"/>
        </w:trPr>
        <w:tc>
          <w:tcPr>
            <w:tcW w:w="9016" w:type="dxa"/>
          </w:tcPr>
          <w:p w14:paraId="6C520EF2" w14:textId="6DE61E15" w:rsidR="006658FA" w:rsidRPr="00AE6279" w:rsidRDefault="005F11C7" w:rsidP="00047F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HNC</w:t>
            </w:r>
            <w:r w:rsidR="00962BA4">
              <w:rPr>
                <w:rFonts w:ascii="Arial" w:hAnsi="Arial" w:cs="Arial"/>
                <w:sz w:val="18"/>
                <w:szCs w:val="18"/>
              </w:rPr>
              <w:t>/D</w:t>
            </w:r>
            <w:r>
              <w:rPr>
                <w:rFonts w:ascii="Arial" w:hAnsi="Arial" w:cs="Arial"/>
                <w:sz w:val="18"/>
                <w:szCs w:val="18"/>
              </w:rPr>
              <w:t xml:space="preserve"> in Performing Arts (Musical Theatre) is aimed at aspiring dance and theatrical professionals, who are looking to supplement their natural talent with industry-recognised Level 4 </w:t>
            </w:r>
            <w:r w:rsidR="00962BA4">
              <w:rPr>
                <w:rFonts w:ascii="Arial" w:hAnsi="Arial" w:cs="Arial"/>
                <w:sz w:val="18"/>
                <w:szCs w:val="18"/>
              </w:rPr>
              <w:t xml:space="preserve">&amp; 5 </w:t>
            </w:r>
            <w:r>
              <w:rPr>
                <w:rFonts w:ascii="Arial" w:hAnsi="Arial" w:cs="Arial"/>
                <w:sz w:val="18"/>
                <w:szCs w:val="18"/>
              </w:rPr>
              <w:t>qualification</w:t>
            </w:r>
            <w:r w:rsidR="00962BA4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as well as benefitting from the varied opportunities and experience that this qualification offers. Those students also looking to potentially move onto degree level will be ideal candidates for th</w:t>
            </w:r>
            <w:r w:rsidR="00962BA4">
              <w:rPr>
                <w:rFonts w:ascii="Arial" w:hAnsi="Arial" w:cs="Arial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HNC.</w:t>
            </w:r>
            <w:r w:rsidR="00962BA4">
              <w:rPr>
                <w:rFonts w:ascii="Arial" w:hAnsi="Arial" w:cs="Arial"/>
                <w:sz w:val="18"/>
                <w:szCs w:val="18"/>
              </w:rPr>
              <w:t>&amp;</w:t>
            </w:r>
            <w:proofErr w:type="gramEnd"/>
            <w:r w:rsidR="00962BA4">
              <w:rPr>
                <w:rFonts w:ascii="Arial" w:hAnsi="Arial" w:cs="Arial"/>
                <w:sz w:val="18"/>
                <w:szCs w:val="18"/>
              </w:rPr>
              <w:t xml:space="preserve"> HND programmes.</w:t>
            </w:r>
          </w:p>
        </w:tc>
      </w:tr>
      <w:tr w:rsidR="00226B8B" w:rsidRPr="003D2B5E" w14:paraId="39BC544D" w14:textId="77777777" w:rsidTr="006658FA">
        <w:trPr>
          <w:trHeight w:val="340"/>
        </w:trPr>
        <w:tc>
          <w:tcPr>
            <w:tcW w:w="9016" w:type="dxa"/>
          </w:tcPr>
          <w:p w14:paraId="5ED202A5" w14:textId="678CAAE8" w:rsidR="00226B8B" w:rsidRPr="003D2B5E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21242"/>
                <w:sz w:val="27"/>
                <w:szCs w:val="27"/>
              </w:rPr>
            </w:pPr>
            <w:r w:rsidRPr="006658FA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Skills and Knowledge Developed</w:t>
            </w:r>
          </w:p>
        </w:tc>
      </w:tr>
      <w:tr w:rsidR="00226B8B" w:rsidRPr="003D2B5E" w14:paraId="23F56728" w14:textId="77777777" w:rsidTr="00070D4E">
        <w:trPr>
          <w:trHeight w:val="983"/>
        </w:trPr>
        <w:tc>
          <w:tcPr>
            <w:tcW w:w="9016" w:type="dxa"/>
          </w:tcPr>
          <w:p w14:paraId="5D790BFD" w14:textId="50FEAB7D" w:rsidR="00070D4E" w:rsidRDefault="009D3A9B" w:rsidP="009618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Students will gain a wide range of Performing Arts knowledge tied to practical skills gained in research, self-study, directed study and workplace scenarios</w:t>
            </w:r>
            <w:r>
              <w:rPr>
                <w:rFonts w:ascii="Arial" w:hAnsi="Arial" w:cs="Arial"/>
                <w:sz w:val="18"/>
                <w:szCs w:val="18"/>
              </w:rPr>
              <w:t xml:space="preserve"> by completing the HNC</w:t>
            </w:r>
            <w:r w:rsidR="00962BA4">
              <w:rPr>
                <w:rFonts w:ascii="Arial" w:hAnsi="Arial" w:cs="Arial"/>
                <w:sz w:val="18"/>
                <w:szCs w:val="18"/>
              </w:rPr>
              <w:t>/D</w:t>
            </w:r>
            <w:r>
              <w:rPr>
                <w:rFonts w:ascii="Arial" w:hAnsi="Arial" w:cs="Arial"/>
                <w:sz w:val="18"/>
                <w:szCs w:val="18"/>
              </w:rPr>
              <w:t xml:space="preserve"> in Performing Arts. This is achieved by equipping </w:t>
            </w:r>
            <w:r w:rsidRPr="009D3A9B">
              <w:rPr>
                <w:rFonts w:ascii="Arial" w:hAnsi="Arial" w:cs="Arial"/>
                <w:sz w:val="18"/>
                <w:szCs w:val="18"/>
              </w:rPr>
              <w:t>individuals with commercial acumen, understanding and Performing Arts skills for success in a range of the roles in Performing Arts, and a General pathway at Level 4</w:t>
            </w:r>
            <w:r w:rsidR="00962BA4">
              <w:rPr>
                <w:rFonts w:ascii="Arial" w:hAnsi="Arial" w:cs="Arial"/>
                <w:sz w:val="18"/>
                <w:szCs w:val="18"/>
              </w:rPr>
              <w:t>/5</w:t>
            </w:r>
            <w:r w:rsidRPr="009D3A9B">
              <w:rPr>
                <w:rFonts w:ascii="Arial" w:hAnsi="Arial" w:cs="Arial"/>
                <w:sz w:val="18"/>
                <w:szCs w:val="18"/>
              </w:rPr>
              <w:t xml:space="preserve"> for those who have not yet decided on their specialism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E3C6CA" w14:textId="58EED541" w:rsidR="009D3A9B" w:rsidRDefault="009D3A9B" w:rsidP="009618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On completion of the HNC</w:t>
            </w:r>
            <w:r w:rsidR="00962BA4">
              <w:rPr>
                <w:rFonts w:ascii="Arial" w:hAnsi="Arial" w:cs="Arial"/>
                <w:sz w:val="18"/>
                <w:szCs w:val="18"/>
              </w:rPr>
              <w:t>/D</w:t>
            </w:r>
            <w:r>
              <w:rPr>
                <w:rFonts w:ascii="Arial" w:hAnsi="Arial" w:cs="Arial"/>
                <w:sz w:val="18"/>
                <w:szCs w:val="18"/>
              </w:rPr>
              <w:t xml:space="preserve">, the student will have </w:t>
            </w:r>
            <w:r w:rsidRPr="009D3A9B">
              <w:rPr>
                <w:rFonts w:ascii="Arial" w:hAnsi="Arial" w:cs="Arial"/>
                <w:sz w:val="18"/>
                <w:szCs w:val="18"/>
              </w:rPr>
              <w:t xml:space="preserve">had the opportunity to develop transferable skills such </w:t>
            </w:r>
            <w:proofErr w:type="gramStart"/>
            <w:r w:rsidRPr="009D3A9B">
              <w:rPr>
                <w:rFonts w:ascii="Arial" w:hAnsi="Arial" w:cs="Arial"/>
                <w:sz w:val="18"/>
                <w:szCs w:val="18"/>
              </w:rPr>
              <w:t>as;</w:t>
            </w:r>
            <w:proofErr w:type="gramEnd"/>
          </w:p>
          <w:p w14:paraId="2776CBAF" w14:textId="77777777" w:rsidR="009D3A9B" w:rsidRPr="009D3A9B" w:rsidRDefault="009D3A9B" w:rsidP="009D3A9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Communication (oral, visual, written)</w:t>
            </w:r>
          </w:p>
          <w:p w14:paraId="1370C41B" w14:textId="77777777" w:rsidR="009D3A9B" w:rsidRPr="009D3A9B" w:rsidRDefault="009D3A9B" w:rsidP="009D3A9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Problem solving</w:t>
            </w:r>
          </w:p>
          <w:p w14:paraId="681FF6E1" w14:textId="77777777" w:rsidR="009D3A9B" w:rsidRPr="009D3A9B" w:rsidRDefault="009D3A9B" w:rsidP="009D3A9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Manage own workload</w:t>
            </w:r>
          </w:p>
          <w:p w14:paraId="2D4F02FC" w14:textId="77777777" w:rsidR="009D3A9B" w:rsidRPr="009D3A9B" w:rsidRDefault="009D3A9B" w:rsidP="009D3A9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Team work</w:t>
            </w:r>
          </w:p>
          <w:p w14:paraId="4B3250F1" w14:textId="77777777" w:rsidR="009D3A9B" w:rsidRPr="009D3A9B" w:rsidRDefault="009D3A9B" w:rsidP="009D3A9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IT</w:t>
            </w:r>
          </w:p>
          <w:p w14:paraId="64580DC2" w14:textId="77777777" w:rsidR="009D3A9B" w:rsidRPr="009D3A9B" w:rsidRDefault="009D3A9B" w:rsidP="009D3A9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Research</w:t>
            </w:r>
          </w:p>
          <w:p w14:paraId="2114AE02" w14:textId="77777777" w:rsidR="009D3A9B" w:rsidRPr="009D3A9B" w:rsidRDefault="009D3A9B" w:rsidP="009D3A9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Self-evaluation and target setting</w:t>
            </w:r>
          </w:p>
          <w:p w14:paraId="31645719" w14:textId="77777777" w:rsidR="009D3A9B" w:rsidRPr="009D3A9B" w:rsidRDefault="009D3A9B" w:rsidP="009D3A9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9D3A9B">
              <w:rPr>
                <w:rFonts w:ascii="Arial" w:hAnsi="Arial" w:cs="Arial"/>
                <w:sz w:val="18"/>
                <w:szCs w:val="18"/>
              </w:rPr>
              <w:t>Business management and finance application/management</w:t>
            </w:r>
          </w:p>
          <w:p w14:paraId="64441C0F" w14:textId="4B9C227C" w:rsidR="009D3A9B" w:rsidRPr="009618DC" w:rsidRDefault="009D3A9B" w:rsidP="009618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B8B" w:rsidRPr="003D2B5E" w14:paraId="7E188C8D" w14:textId="77777777" w:rsidTr="006658FA">
        <w:trPr>
          <w:trHeight w:val="340"/>
        </w:trPr>
        <w:tc>
          <w:tcPr>
            <w:tcW w:w="9016" w:type="dxa"/>
          </w:tcPr>
          <w:p w14:paraId="18833F1A" w14:textId="77777777" w:rsidR="00226B8B" w:rsidRPr="003D2B5E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21242"/>
                <w:sz w:val="27"/>
                <w:szCs w:val="27"/>
              </w:rPr>
            </w:pPr>
            <w:r w:rsidRPr="006658FA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lastRenderedPageBreak/>
              <w:t>Progression:</w:t>
            </w:r>
          </w:p>
        </w:tc>
      </w:tr>
      <w:tr w:rsidR="00226B8B" w:rsidRPr="003D2B5E" w14:paraId="1CAEE8E7" w14:textId="77777777" w:rsidTr="007E145E">
        <w:trPr>
          <w:trHeight w:val="631"/>
        </w:trPr>
        <w:tc>
          <w:tcPr>
            <w:tcW w:w="9016" w:type="dxa"/>
          </w:tcPr>
          <w:p w14:paraId="0ED501B3" w14:textId="3A7C2B7A" w:rsidR="00226B8B" w:rsidRPr="003D2B5E" w:rsidRDefault="00336344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</w:pPr>
            <w:r w:rsidRPr="00336344">
              <w:rPr>
                <w:rFonts w:ascii="Arial" w:hAnsi="Arial" w:cs="Arial"/>
                <w:sz w:val="18"/>
                <w:szCs w:val="18"/>
              </w:rPr>
              <w:t>Learners studying the HNC</w:t>
            </w:r>
            <w:r w:rsidR="00962BA4">
              <w:rPr>
                <w:rFonts w:ascii="Arial" w:hAnsi="Arial" w:cs="Arial"/>
                <w:sz w:val="18"/>
                <w:szCs w:val="18"/>
              </w:rPr>
              <w:t>/D</w:t>
            </w:r>
            <w:r w:rsidRPr="00336344">
              <w:rPr>
                <w:rFonts w:ascii="Arial" w:hAnsi="Arial" w:cs="Arial"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sz w:val="18"/>
                <w:szCs w:val="18"/>
              </w:rPr>
              <w:t>Performing Arts</w:t>
            </w:r>
            <w:r w:rsidRPr="00336344">
              <w:rPr>
                <w:rFonts w:ascii="Arial" w:hAnsi="Arial" w:cs="Arial"/>
                <w:sz w:val="18"/>
                <w:szCs w:val="18"/>
              </w:rPr>
              <w:t xml:space="preserve"> will have </w:t>
            </w:r>
            <w:proofErr w:type="gramStart"/>
            <w:r w:rsidRPr="00336344">
              <w:rPr>
                <w:rFonts w:ascii="Arial" w:hAnsi="Arial" w:cs="Arial"/>
                <w:sz w:val="18"/>
                <w:szCs w:val="18"/>
              </w:rPr>
              <w:t>a number of</w:t>
            </w:r>
            <w:proofErr w:type="gramEnd"/>
            <w:r w:rsidRPr="00336344">
              <w:rPr>
                <w:rFonts w:ascii="Arial" w:hAnsi="Arial" w:cs="Arial"/>
                <w:sz w:val="18"/>
                <w:szCs w:val="18"/>
              </w:rPr>
              <w:t xml:space="preserve"> expected progression routes as a result of their programme, including </w:t>
            </w:r>
            <w:r>
              <w:rPr>
                <w:rFonts w:ascii="Arial" w:hAnsi="Arial" w:cs="Arial"/>
                <w:sz w:val="18"/>
                <w:szCs w:val="18"/>
              </w:rPr>
              <w:t>the possibility of moving onto degree level. There are also excellent opportunities to move into employment in dance or musical theatre settings, as a result of the wide range of work experience and contacts offered through the programme.</w:t>
            </w:r>
          </w:p>
        </w:tc>
      </w:tr>
      <w:tr w:rsidR="00226B8B" w:rsidRPr="003D2B5E" w14:paraId="3F28324A" w14:textId="77777777" w:rsidTr="006658FA">
        <w:trPr>
          <w:trHeight w:val="340"/>
        </w:trPr>
        <w:tc>
          <w:tcPr>
            <w:tcW w:w="9016" w:type="dxa"/>
          </w:tcPr>
          <w:p w14:paraId="7D299438" w14:textId="77777777" w:rsidR="00226B8B" w:rsidRPr="003D2B5E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21242"/>
                <w:sz w:val="27"/>
                <w:szCs w:val="27"/>
              </w:rPr>
            </w:pPr>
            <w:r w:rsidRPr="00514C20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Special Features:</w:t>
            </w:r>
          </w:p>
        </w:tc>
      </w:tr>
      <w:tr w:rsidR="00226B8B" w:rsidRPr="003D2B5E" w14:paraId="0E846475" w14:textId="77777777" w:rsidTr="00F63A0B">
        <w:trPr>
          <w:trHeight w:val="1266"/>
        </w:trPr>
        <w:tc>
          <w:tcPr>
            <w:tcW w:w="9016" w:type="dxa"/>
          </w:tcPr>
          <w:p w14:paraId="30CE5719" w14:textId="3CEAFEC3" w:rsidR="00336344" w:rsidRDefault="00336344" w:rsidP="00336344">
            <w:pPr>
              <w:rPr>
                <w:rFonts w:ascii="Arial" w:hAnsi="Arial" w:cs="Arial"/>
                <w:sz w:val="18"/>
                <w:szCs w:val="18"/>
              </w:rPr>
            </w:pPr>
            <w:r w:rsidRPr="00336344">
              <w:rPr>
                <w:rFonts w:ascii="Arial" w:hAnsi="Arial" w:cs="Arial"/>
                <w:sz w:val="18"/>
                <w:szCs w:val="18"/>
              </w:rPr>
              <w:t>The programme is run as if it were a professional theatre/dance company to prepare students for employment and adheres to industry standard expectations.</w:t>
            </w:r>
            <w:r>
              <w:rPr>
                <w:rFonts w:ascii="Arial" w:hAnsi="Arial" w:cs="Arial"/>
                <w:sz w:val="18"/>
                <w:szCs w:val="18"/>
              </w:rPr>
              <w:t xml:space="preserve"> There </w:t>
            </w:r>
            <w:r w:rsidR="00DC5E3B">
              <w:rPr>
                <w:rFonts w:ascii="Arial" w:hAnsi="Arial" w:cs="Arial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 xml:space="preserve"> a vast amount of vocationally relevant opportunities that are available to students on the HNC</w:t>
            </w:r>
            <w:r w:rsidR="00962BA4">
              <w:rPr>
                <w:rFonts w:ascii="Arial" w:hAnsi="Arial" w:cs="Arial"/>
                <w:sz w:val="18"/>
                <w:szCs w:val="18"/>
              </w:rPr>
              <w:t>/D</w:t>
            </w:r>
            <w:r>
              <w:rPr>
                <w:rFonts w:ascii="Arial" w:hAnsi="Arial" w:cs="Arial"/>
                <w:sz w:val="18"/>
                <w:szCs w:val="18"/>
              </w:rPr>
              <w:t xml:space="preserve"> Performing Arts programmes,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including;</w:t>
            </w:r>
            <w:proofErr w:type="gramEnd"/>
          </w:p>
          <w:p w14:paraId="6D20EEB6" w14:textId="3DD558B5" w:rsidR="00336344" w:rsidRDefault="00336344" w:rsidP="00336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36344">
              <w:rPr>
                <w:rFonts w:ascii="Arial" w:hAnsi="Arial" w:cs="Arial"/>
                <w:sz w:val="18"/>
                <w:szCs w:val="18"/>
              </w:rPr>
              <w:t>Move it - The world's largest dance event, which hosts over 20,000 guests per day.</w:t>
            </w:r>
          </w:p>
          <w:p w14:paraId="3CB8FAE2" w14:textId="08BFFC97" w:rsidR="00336344" w:rsidRDefault="00336344" w:rsidP="00336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36344">
              <w:rPr>
                <w:rFonts w:ascii="Arial" w:hAnsi="Arial" w:cs="Arial"/>
                <w:sz w:val="18"/>
                <w:szCs w:val="18"/>
              </w:rPr>
              <w:t>Dance World Cup</w:t>
            </w:r>
          </w:p>
          <w:p w14:paraId="4849F34A" w14:textId="5051C545" w:rsidR="00336344" w:rsidRDefault="00336344" w:rsidP="00336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36344">
              <w:rPr>
                <w:rFonts w:ascii="Arial" w:hAnsi="Arial" w:cs="Arial"/>
                <w:sz w:val="18"/>
                <w:szCs w:val="18"/>
              </w:rPr>
              <w:t>Dirty Dancing - Interactive, pop-up cinema event</w:t>
            </w:r>
          </w:p>
          <w:p w14:paraId="6C09C610" w14:textId="53D3E27E" w:rsidR="00336344" w:rsidRDefault="00336344" w:rsidP="003363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36344">
              <w:rPr>
                <w:rFonts w:ascii="Arial" w:hAnsi="Arial" w:cs="Arial"/>
                <w:sz w:val="18"/>
                <w:szCs w:val="18"/>
              </w:rPr>
              <w:t>All England Dance Championships</w:t>
            </w:r>
          </w:p>
          <w:p w14:paraId="02A4D4B8" w14:textId="4FE1EAB0" w:rsidR="00336344" w:rsidRDefault="00336344" w:rsidP="003363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F550E8" w14:textId="3F300E15" w:rsidR="00DC5E3B" w:rsidRDefault="00DC5E3B" w:rsidP="003363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addition, other opportunities previous students 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Jelli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have experienced include;</w:t>
            </w:r>
          </w:p>
          <w:p w14:paraId="319909EE" w14:textId="7AB993E8" w:rsidR="00DC5E3B" w:rsidRDefault="00DC5E3B" w:rsidP="00DC5E3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5E3B">
              <w:rPr>
                <w:rFonts w:ascii="Arial" w:hAnsi="Arial" w:cs="Arial"/>
                <w:sz w:val="18"/>
                <w:szCs w:val="18"/>
              </w:rPr>
              <w:t>Britain's Got Talent</w:t>
            </w:r>
          </w:p>
          <w:p w14:paraId="3C6C153B" w14:textId="0C6F5CAF" w:rsidR="00DC5E3B" w:rsidRDefault="00DC5E3B" w:rsidP="00DC5E3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5E3B">
              <w:rPr>
                <w:rFonts w:ascii="Arial" w:hAnsi="Arial" w:cs="Arial"/>
                <w:sz w:val="18"/>
                <w:szCs w:val="18"/>
              </w:rPr>
              <w:t>National Diversity Awards</w:t>
            </w:r>
          </w:p>
          <w:p w14:paraId="27435C46" w14:textId="6EF8571F" w:rsidR="00DC5E3B" w:rsidRDefault="00DC5E3B" w:rsidP="00DC5E3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5E3B">
              <w:rPr>
                <w:rFonts w:ascii="Arial" w:hAnsi="Arial" w:cs="Arial"/>
                <w:sz w:val="18"/>
                <w:szCs w:val="18"/>
              </w:rPr>
              <w:t>National Inclusion Awards</w:t>
            </w:r>
          </w:p>
          <w:p w14:paraId="48333081" w14:textId="4AA95680" w:rsidR="00DC5E3B" w:rsidRDefault="00DC5E3B" w:rsidP="00DC5E3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5E3B">
              <w:rPr>
                <w:rFonts w:ascii="Arial" w:hAnsi="Arial" w:cs="Arial"/>
                <w:sz w:val="18"/>
                <w:szCs w:val="18"/>
              </w:rPr>
              <w:t>The Greatest Dancer</w:t>
            </w:r>
          </w:p>
          <w:p w14:paraId="5D6837A7" w14:textId="7330A2C9" w:rsidR="00DC5E3B" w:rsidRDefault="00DC5E3B" w:rsidP="00DC5E3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DC5E3B">
              <w:rPr>
                <w:rFonts w:ascii="Arial" w:hAnsi="Arial" w:cs="Arial"/>
                <w:sz w:val="18"/>
                <w:szCs w:val="18"/>
              </w:rPr>
              <w:t>Pantomime in Liverpool Epstein</w:t>
            </w:r>
          </w:p>
          <w:p w14:paraId="2BE1F0C2" w14:textId="345B2F63" w:rsidR="00DC5E3B" w:rsidRDefault="00DC5E3B" w:rsidP="00DC5E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1E03CC" w14:textId="4E12DAAA" w:rsidR="00A5271A" w:rsidRPr="003D2B5E" w:rsidRDefault="00DC5E3B" w:rsidP="00AA462C">
            <w:pPr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 is expected that similar opportunities will be available for all HNC </w:t>
            </w:r>
            <w:r w:rsidR="00AA462C">
              <w:rPr>
                <w:rFonts w:ascii="Arial" w:hAnsi="Arial" w:cs="Arial"/>
                <w:sz w:val="18"/>
                <w:szCs w:val="18"/>
              </w:rPr>
              <w:t xml:space="preserve">&amp; HND </w:t>
            </w:r>
            <w:r>
              <w:rPr>
                <w:rFonts w:ascii="Arial" w:hAnsi="Arial" w:cs="Arial"/>
                <w:sz w:val="18"/>
                <w:szCs w:val="18"/>
              </w:rPr>
              <w:t xml:space="preserve">students in </w:t>
            </w:r>
            <w:r w:rsidR="00AA462C">
              <w:rPr>
                <w:rFonts w:ascii="Arial" w:hAnsi="Arial" w:cs="Arial"/>
                <w:sz w:val="18"/>
                <w:szCs w:val="18"/>
              </w:rPr>
              <w:t>2020/21</w:t>
            </w:r>
            <w:r>
              <w:rPr>
                <w:rFonts w:ascii="Arial" w:hAnsi="Arial" w:cs="Arial"/>
                <w:sz w:val="18"/>
                <w:szCs w:val="18"/>
              </w:rPr>
              <w:t xml:space="preserve"> as well</w:t>
            </w:r>
            <w:r w:rsidR="00AA462C">
              <w:rPr>
                <w:rFonts w:ascii="Arial" w:hAnsi="Arial" w:cs="Arial"/>
                <w:sz w:val="18"/>
                <w:szCs w:val="18"/>
              </w:rPr>
              <w:t>, dependent on the ongoing Covid-19 pandemic &amp; potential restrictions in place.</w:t>
            </w:r>
          </w:p>
        </w:tc>
      </w:tr>
      <w:tr w:rsidR="00226B8B" w:rsidRPr="003D2B5E" w14:paraId="30E76B2B" w14:textId="77777777" w:rsidTr="00514C20">
        <w:trPr>
          <w:trHeight w:val="340"/>
        </w:trPr>
        <w:tc>
          <w:tcPr>
            <w:tcW w:w="9016" w:type="dxa"/>
          </w:tcPr>
          <w:p w14:paraId="080E8A97" w14:textId="77777777" w:rsidR="00226B8B" w:rsidRPr="003D2B5E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21242"/>
                <w:sz w:val="27"/>
                <w:szCs w:val="27"/>
              </w:rPr>
            </w:pPr>
            <w:r w:rsidRPr="00514C20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Teaching Methods:</w:t>
            </w:r>
          </w:p>
        </w:tc>
      </w:tr>
      <w:tr w:rsidR="00226B8B" w:rsidRPr="003D2B5E" w14:paraId="5F76585C" w14:textId="77777777" w:rsidTr="00F63A0B">
        <w:trPr>
          <w:trHeight w:val="1796"/>
        </w:trPr>
        <w:tc>
          <w:tcPr>
            <w:tcW w:w="9016" w:type="dxa"/>
          </w:tcPr>
          <w:p w14:paraId="50474CE2" w14:textId="77777777" w:rsidR="00DC5E3B" w:rsidRPr="00070D4E" w:rsidRDefault="00DC5E3B" w:rsidP="00DC5E3B">
            <w:p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Knowledge and understanding will be acquired through the following range of approaches to module delivery:</w:t>
            </w:r>
          </w:p>
          <w:p w14:paraId="5A5D4B53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work related learning</w:t>
            </w:r>
          </w:p>
          <w:p w14:paraId="481F8518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mixed modes of delivery:</w:t>
            </w:r>
          </w:p>
          <w:p w14:paraId="7C41D0AB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tutor-led learning (lectures, with student interaction/discussion, class exercises and group work as appropriate to the topic)</w:t>
            </w:r>
          </w:p>
          <w:p w14:paraId="03EF1FFE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seminars (guided by the tutor but with significant student input)</w:t>
            </w:r>
          </w:p>
          <w:p w14:paraId="07AB0E19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tutor-led workshops (practical sessions with student interaction)</w:t>
            </w:r>
          </w:p>
          <w:p w14:paraId="484878BF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self-managed learning/research (outside timetabled sessions)</w:t>
            </w:r>
          </w:p>
          <w:p w14:paraId="1F4D22E9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VLE delivery and support (learning materials, exercises and reference documents are made available as well as means of communication between students, tutors and support staff)</w:t>
            </w:r>
          </w:p>
          <w:p w14:paraId="6D411138" w14:textId="00B72015" w:rsidR="00DC5E3B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mentoring sessions/tutorials (one-to-one with the tutor)</w:t>
            </w:r>
          </w:p>
          <w:p w14:paraId="557AB4C9" w14:textId="743E839B" w:rsidR="00226B8B" w:rsidRPr="00DC5E3B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DC5E3B">
              <w:rPr>
                <w:rFonts w:ascii="Arial" w:hAnsi="Arial" w:cs="Arial"/>
                <w:sz w:val="18"/>
                <w:szCs w:val="18"/>
              </w:rPr>
              <w:t>reflective practice sessions (in group tutorials)</w:t>
            </w:r>
          </w:p>
        </w:tc>
      </w:tr>
      <w:tr w:rsidR="00226B8B" w:rsidRPr="003D2B5E" w14:paraId="67F5102B" w14:textId="77777777" w:rsidTr="00514C20">
        <w:trPr>
          <w:trHeight w:val="340"/>
        </w:trPr>
        <w:tc>
          <w:tcPr>
            <w:tcW w:w="9016" w:type="dxa"/>
          </w:tcPr>
          <w:p w14:paraId="5A28BD5A" w14:textId="77777777" w:rsidR="00226B8B" w:rsidRPr="003D2B5E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21242"/>
                <w:sz w:val="27"/>
                <w:szCs w:val="27"/>
              </w:rPr>
            </w:pPr>
            <w:r w:rsidRPr="00514C20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Assessment Methods:</w:t>
            </w:r>
          </w:p>
        </w:tc>
      </w:tr>
      <w:tr w:rsidR="00226B8B" w:rsidRPr="003D2B5E" w14:paraId="48FC5F93" w14:textId="77777777" w:rsidTr="00F63A0B">
        <w:trPr>
          <w:trHeight w:val="1371"/>
        </w:trPr>
        <w:tc>
          <w:tcPr>
            <w:tcW w:w="9016" w:type="dxa"/>
          </w:tcPr>
          <w:p w14:paraId="2D4C661C" w14:textId="77777777" w:rsidR="00DC5E3B" w:rsidRPr="00070D4E" w:rsidRDefault="00DC5E3B" w:rsidP="00DC5E3B">
            <w:p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Assessment will predominantly be conducted through:</w:t>
            </w:r>
          </w:p>
          <w:p w14:paraId="66F5FA8A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a portfolio of documentary evidence of participation and the achievement of learning outcomes</w:t>
            </w:r>
          </w:p>
          <w:p w14:paraId="05996D15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the production of reports, analyses and reflection</w:t>
            </w:r>
          </w:p>
          <w:p w14:paraId="69FA7626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presentation, both individually and in groups</w:t>
            </w:r>
          </w:p>
          <w:p w14:paraId="4893807F" w14:textId="77777777" w:rsidR="00DC5E3B" w:rsidRPr="00070D4E" w:rsidRDefault="00DC5E3B" w:rsidP="00DC5E3B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70D4E">
              <w:rPr>
                <w:rFonts w:ascii="Arial" w:hAnsi="Arial" w:cs="Arial"/>
                <w:sz w:val="18"/>
                <w:szCs w:val="18"/>
              </w:rPr>
              <w:t>regular assessment of learning – including informal, formative assessment mid-semester and formal, summative assessment at the end of each semester</w:t>
            </w:r>
          </w:p>
          <w:p w14:paraId="0C8AEEEB" w14:textId="77777777" w:rsidR="00226B8B" w:rsidRPr="003D2B5E" w:rsidRDefault="00226B8B" w:rsidP="009618DC">
            <w:pPr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</w:pPr>
          </w:p>
        </w:tc>
      </w:tr>
      <w:tr w:rsidR="00226B8B" w:rsidRPr="003D2B5E" w14:paraId="23B6C41D" w14:textId="77777777" w:rsidTr="00514C20">
        <w:trPr>
          <w:trHeight w:val="340"/>
        </w:trPr>
        <w:tc>
          <w:tcPr>
            <w:tcW w:w="9016" w:type="dxa"/>
          </w:tcPr>
          <w:p w14:paraId="14EB58B5" w14:textId="77777777" w:rsidR="00226B8B" w:rsidRPr="003D2B5E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21242"/>
                <w:sz w:val="27"/>
                <w:szCs w:val="27"/>
              </w:rPr>
            </w:pPr>
            <w:r w:rsidRPr="00514C20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How to Apply</w:t>
            </w:r>
            <w:r w:rsidR="00514C20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:</w:t>
            </w:r>
          </w:p>
        </w:tc>
      </w:tr>
      <w:tr w:rsidR="00226B8B" w:rsidRPr="003D2B5E" w14:paraId="30486196" w14:textId="77777777" w:rsidTr="00D32D9E">
        <w:trPr>
          <w:trHeight w:val="760"/>
        </w:trPr>
        <w:tc>
          <w:tcPr>
            <w:tcW w:w="9016" w:type="dxa"/>
          </w:tcPr>
          <w:p w14:paraId="13FCA924" w14:textId="0FB4D5A9" w:rsidR="00D32D9E" w:rsidRDefault="00D32D9E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32D9E">
              <w:rPr>
                <w:rFonts w:ascii="Arial" w:hAnsi="Arial" w:cs="Arial"/>
                <w:sz w:val="18"/>
                <w:szCs w:val="18"/>
              </w:rPr>
              <w:t xml:space="preserve">Applications can be made directly to Sysco by completing an </w:t>
            </w:r>
            <w:r w:rsidR="00962BA4">
              <w:rPr>
                <w:rFonts w:ascii="Arial" w:hAnsi="Arial" w:cs="Arial"/>
                <w:sz w:val="18"/>
                <w:szCs w:val="18"/>
              </w:rPr>
              <w:t>expression of interest form.</w:t>
            </w:r>
            <w:r w:rsidRPr="00D32D9E">
              <w:rPr>
                <w:rFonts w:ascii="Arial" w:hAnsi="Arial" w:cs="Arial"/>
                <w:sz w:val="18"/>
                <w:szCs w:val="18"/>
              </w:rPr>
              <w:t xml:space="preserve"> Along with any relevant personal details, evidence of qualifications, prior experience and/or references will be required; this should be attached to all application forms.</w:t>
            </w:r>
          </w:p>
          <w:p w14:paraId="24B2E16D" w14:textId="77777777" w:rsidR="009618DC" w:rsidRDefault="009618DC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183CDD6" w14:textId="77777777" w:rsidR="009618DC" w:rsidRDefault="009618DC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Alternatively, expressions of interest logged directly with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Jelli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Theatre campus will be considered, providing all detail required is submitted alongside the expression of interest.</w:t>
            </w:r>
          </w:p>
          <w:p w14:paraId="358E5464" w14:textId="3AFFFA01" w:rsidR="009618DC" w:rsidRPr="00D32D9E" w:rsidRDefault="009618DC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B8B" w:rsidRPr="003D2B5E" w14:paraId="69FC9A83" w14:textId="77777777" w:rsidTr="003D2B5E">
        <w:tc>
          <w:tcPr>
            <w:tcW w:w="9016" w:type="dxa"/>
          </w:tcPr>
          <w:p w14:paraId="63D4887D" w14:textId="77777777" w:rsidR="00356FB1" w:rsidRPr="00356FB1" w:rsidRDefault="00DD158C" w:rsidP="0006301A">
            <w:pPr>
              <w:rPr>
                <w:rFonts w:ascii="Arial" w:eastAsia="Times New Roman" w:hAnsi="Arial" w:cs="Arial"/>
                <w:b/>
                <w:color w:val="C00000"/>
                <w:sz w:val="27"/>
                <w:szCs w:val="27"/>
                <w:lang w:eastAsia="en-GB"/>
              </w:rPr>
            </w:pPr>
            <w:r w:rsidRPr="00356FB1">
              <w:rPr>
                <w:rFonts w:ascii="Arial" w:eastAsia="Times New Roman" w:hAnsi="Arial" w:cs="Arial"/>
                <w:b/>
                <w:color w:val="C00000"/>
                <w:sz w:val="27"/>
                <w:szCs w:val="27"/>
                <w:lang w:eastAsia="en-GB"/>
              </w:rPr>
              <w:lastRenderedPageBreak/>
              <w:t>To see more details and compare with other courses</w:t>
            </w:r>
            <w:r w:rsidR="0006301A" w:rsidRPr="00356FB1">
              <w:rPr>
                <w:rFonts w:ascii="Arial" w:eastAsia="Times New Roman" w:hAnsi="Arial" w:cs="Arial"/>
                <w:b/>
                <w:color w:val="C00000"/>
                <w:sz w:val="27"/>
                <w:szCs w:val="27"/>
                <w:lang w:eastAsia="en-GB"/>
              </w:rPr>
              <w:t>:</w:t>
            </w:r>
            <w:r w:rsidRPr="00356FB1">
              <w:rPr>
                <w:rFonts w:ascii="Arial" w:eastAsia="Times New Roman" w:hAnsi="Arial" w:cs="Arial"/>
                <w:b/>
                <w:color w:val="C00000"/>
                <w:sz w:val="27"/>
                <w:szCs w:val="27"/>
                <w:lang w:eastAsia="en-GB"/>
              </w:rPr>
              <w:t xml:space="preserve"> </w:t>
            </w:r>
          </w:p>
          <w:p w14:paraId="6B850ACF" w14:textId="77777777" w:rsidR="00226B8B" w:rsidRPr="001F2F39" w:rsidRDefault="00C143E3" w:rsidP="00356FB1">
            <w:pPr>
              <w:rPr>
                <w:rFonts w:ascii="Arial" w:eastAsia="Times New Roman" w:hAnsi="Arial" w:cs="Arial"/>
                <w:color w:val="4B4627"/>
                <w:sz w:val="24"/>
                <w:szCs w:val="24"/>
                <w:lang w:eastAsia="en-GB"/>
              </w:rPr>
            </w:pPr>
            <w:hyperlink r:id="rId6" w:tgtFrame="_blank" w:history="1">
              <w:r w:rsidR="001F2F39" w:rsidRPr="00356FB1">
                <w:rPr>
                  <w:rFonts w:ascii="Arial" w:eastAsia="Times New Roman" w:hAnsi="Arial" w:cs="Arial"/>
                  <w:b/>
                  <w:color w:val="FFFFFF"/>
                  <w:sz w:val="27"/>
                  <w:szCs w:val="27"/>
                  <w:shd w:val="clear" w:color="auto" w:fill="DD312C"/>
                  <w:lang w:eastAsia="en-GB"/>
                </w:rPr>
                <w:t xml:space="preserve">Visit </w:t>
              </w:r>
              <w:r w:rsidR="001F2F39" w:rsidRPr="00356FB1">
                <w:rPr>
                  <w:rFonts w:ascii="Arial" w:eastAsia="Times New Roman" w:hAnsi="Arial" w:cs="Arial"/>
                  <w:b/>
                  <w:bCs/>
                  <w:caps/>
                  <w:color w:val="FFFFFF"/>
                  <w:sz w:val="27"/>
                  <w:szCs w:val="27"/>
                  <w:shd w:val="clear" w:color="auto" w:fill="DD312C"/>
                  <w:lang w:eastAsia="en-GB"/>
                </w:rPr>
                <w:t>Unistats</w:t>
              </w:r>
            </w:hyperlink>
            <w:r w:rsidR="001F2F39" w:rsidRPr="00356FB1">
              <w:rPr>
                <w:rFonts w:ascii="Arial" w:eastAsia="Times New Roman" w:hAnsi="Arial" w:cs="Arial"/>
                <w:b/>
                <w:color w:val="C00000"/>
                <w:sz w:val="27"/>
                <w:szCs w:val="27"/>
                <w:lang w:eastAsia="en-GB"/>
              </w:rPr>
              <w:t>(</w:t>
            </w:r>
            <w:r w:rsidR="00DD158C" w:rsidRPr="00356FB1">
              <w:rPr>
                <w:rFonts w:ascii="Arial" w:eastAsia="Times New Roman" w:hAnsi="Arial" w:cs="Arial"/>
                <w:b/>
                <w:color w:val="C00000"/>
                <w:sz w:val="27"/>
                <w:szCs w:val="27"/>
                <w:lang w:eastAsia="en-GB"/>
              </w:rPr>
              <w:t>Official data collected by HEFCE</w:t>
            </w:r>
            <w:r w:rsidR="001F2F39" w:rsidRPr="00356FB1">
              <w:rPr>
                <w:rFonts w:ascii="Arial" w:eastAsia="Times New Roman" w:hAnsi="Arial" w:cs="Arial"/>
                <w:b/>
                <w:color w:val="C00000"/>
                <w:sz w:val="27"/>
                <w:szCs w:val="27"/>
                <w:lang w:eastAsia="en-GB"/>
              </w:rPr>
              <w:t>)</w:t>
            </w:r>
          </w:p>
        </w:tc>
      </w:tr>
      <w:tr w:rsidR="00226B8B" w:rsidRPr="003D2B5E" w14:paraId="6657C26B" w14:textId="77777777" w:rsidTr="003D2B5E">
        <w:tc>
          <w:tcPr>
            <w:tcW w:w="9016" w:type="dxa"/>
          </w:tcPr>
          <w:p w14:paraId="1AC08269" w14:textId="77777777" w:rsidR="00226B8B" w:rsidRPr="003D2B5E" w:rsidRDefault="00226B8B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21242"/>
                <w:sz w:val="27"/>
                <w:szCs w:val="27"/>
              </w:rPr>
            </w:pPr>
            <w:r w:rsidRPr="00514C20">
              <w:rPr>
                <w:rFonts w:ascii="Arial" w:hAnsi="Arial" w:cs="Arial"/>
                <w:b/>
                <w:bCs/>
                <w:color w:val="C00000"/>
                <w:sz w:val="27"/>
                <w:szCs w:val="27"/>
              </w:rPr>
              <w:t>Disclaimer</w:t>
            </w:r>
          </w:p>
        </w:tc>
      </w:tr>
      <w:tr w:rsidR="00226B8B" w:rsidRPr="003D2B5E" w14:paraId="268F0786" w14:textId="77777777" w:rsidTr="00514C20">
        <w:trPr>
          <w:trHeight w:val="398"/>
        </w:trPr>
        <w:tc>
          <w:tcPr>
            <w:tcW w:w="9016" w:type="dxa"/>
          </w:tcPr>
          <w:p w14:paraId="4FCA7FA0" w14:textId="77777777" w:rsidR="00514C20" w:rsidRPr="003D2B5E" w:rsidRDefault="00514C20" w:rsidP="00047F6B">
            <w:pPr>
              <w:autoSpaceDE w:val="0"/>
              <w:autoSpaceDN w:val="0"/>
              <w:adjustRightInd w:val="0"/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</w:pPr>
          </w:p>
        </w:tc>
      </w:tr>
      <w:tr w:rsidR="00514C20" w:rsidRPr="003D2B5E" w14:paraId="69F52264" w14:textId="77777777" w:rsidTr="00514C20">
        <w:trPr>
          <w:trHeight w:val="397"/>
        </w:trPr>
        <w:tc>
          <w:tcPr>
            <w:tcW w:w="9016" w:type="dxa"/>
          </w:tcPr>
          <w:p w14:paraId="5BA33BF9" w14:textId="0C11174D" w:rsidR="00514C20" w:rsidRPr="00514C20" w:rsidRDefault="00AA462C" w:rsidP="00AA462C">
            <w:pPr>
              <w:contextualSpacing/>
              <w:rPr>
                <w:rFonts w:ascii="Arial" w:hAnsi="Arial" w:cs="Arial"/>
                <w:b/>
                <w:color w:val="C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color w:val="C00000"/>
                <w:sz w:val="27"/>
                <w:szCs w:val="27"/>
              </w:rPr>
              <w:t xml:space="preserve">Please refer to Sysco’s HE Admissions Policy, Pre-Contract Information Sheet and Offer Letter Template for further detail on the HE </w:t>
            </w:r>
            <w:proofErr w:type="gramStart"/>
            <w:r>
              <w:rPr>
                <w:rFonts w:ascii="Arial" w:hAnsi="Arial" w:cs="Arial"/>
                <w:b/>
                <w:color w:val="C00000"/>
                <w:sz w:val="27"/>
                <w:szCs w:val="27"/>
              </w:rPr>
              <w:t>programme</w:t>
            </w:r>
            <w:proofErr w:type="gramEnd"/>
            <w:r>
              <w:rPr>
                <w:rFonts w:ascii="Arial" w:hAnsi="Arial" w:cs="Arial"/>
                <w:b/>
                <w:color w:val="C00000"/>
                <w:sz w:val="27"/>
                <w:szCs w:val="27"/>
              </w:rPr>
              <w:t xml:space="preserve"> offerings.</w:t>
            </w:r>
          </w:p>
          <w:p w14:paraId="20409DDE" w14:textId="77777777" w:rsidR="00514C20" w:rsidRDefault="00514C20" w:rsidP="00226B8B">
            <w:pPr>
              <w:autoSpaceDE w:val="0"/>
              <w:autoSpaceDN w:val="0"/>
              <w:adjustRightInd w:val="0"/>
              <w:rPr>
                <w:rFonts w:ascii="Arial" w:hAnsi="Arial" w:cs="Arial"/>
                <w:color w:val="D0CECE" w:themeColor="background2" w:themeShade="E6"/>
                <w:sz w:val="18"/>
                <w:szCs w:val="18"/>
              </w:rPr>
            </w:pPr>
          </w:p>
        </w:tc>
      </w:tr>
    </w:tbl>
    <w:p w14:paraId="7C3540DF" w14:textId="77777777" w:rsidR="000279F8" w:rsidRPr="00514C20" w:rsidRDefault="000279F8" w:rsidP="00514C20">
      <w:pPr>
        <w:rPr>
          <w:rFonts w:ascii="Arial" w:hAnsi="Arial" w:cs="Arial"/>
          <w:b/>
          <w:color w:val="C00000"/>
          <w:sz w:val="27"/>
          <w:szCs w:val="27"/>
        </w:rPr>
      </w:pPr>
      <w:r w:rsidRPr="00514C20">
        <w:rPr>
          <w:rFonts w:ascii="Arial" w:hAnsi="Arial" w:cs="Arial"/>
          <w:b/>
          <w:color w:val="C00000"/>
          <w:sz w:val="27"/>
          <w:szCs w:val="27"/>
        </w:rPr>
        <w:t xml:space="preserve"> </w:t>
      </w:r>
    </w:p>
    <w:sectPr w:rsidR="000279F8" w:rsidRPr="00514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1131"/>
    <w:multiLevelType w:val="hybridMultilevel"/>
    <w:tmpl w:val="5D18E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20934"/>
    <w:multiLevelType w:val="multilevel"/>
    <w:tmpl w:val="9BD01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7C4AD6"/>
    <w:multiLevelType w:val="hybridMultilevel"/>
    <w:tmpl w:val="6E6C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F56A8"/>
    <w:multiLevelType w:val="hybridMultilevel"/>
    <w:tmpl w:val="7D58FB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7A6345"/>
    <w:multiLevelType w:val="hybridMultilevel"/>
    <w:tmpl w:val="2C46F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7541D3"/>
    <w:multiLevelType w:val="hybridMultilevel"/>
    <w:tmpl w:val="19CE3A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720E55"/>
    <w:multiLevelType w:val="hybridMultilevel"/>
    <w:tmpl w:val="F5CC2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2D58"/>
    <w:multiLevelType w:val="hybridMultilevel"/>
    <w:tmpl w:val="969A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E520B"/>
    <w:multiLevelType w:val="hybridMultilevel"/>
    <w:tmpl w:val="79DEC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5B2"/>
    <w:multiLevelType w:val="hybridMultilevel"/>
    <w:tmpl w:val="690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F4715"/>
    <w:multiLevelType w:val="hybridMultilevel"/>
    <w:tmpl w:val="7D6E4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F77AD"/>
    <w:multiLevelType w:val="hybridMultilevel"/>
    <w:tmpl w:val="F72A94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5E"/>
    <w:rsid w:val="000279F8"/>
    <w:rsid w:val="00047F6B"/>
    <w:rsid w:val="0006301A"/>
    <w:rsid w:val="00070D4E"/>
    <w:rsid w:val="00097B9D"/>
    <w:rsid w:val="00117158"/>
    <w:rsid w:val="001F2F39"/>
    <w:rsid w:val="00226B8B"/>
    <w:rsid w:val="002C270C"/>
    <w:rsid w:val="00336344"/>
    <w:rsid w:val="00356FB1"/>
    <w:rsid w:val="003D2B5E"/>
    <w:rsid w:val="003F0747"/>
    <w:rsid w:val="00486A5B"/>
    <w:rsid w:val="004D1BD4"/>
    <w:rsid w:val="00504196"/>
    <w:rsid w:val="00514C20"/>
    <w:rsid w:val="005566C9"/>
    <w:rsid w:val="005A0605"/>
    <w:rsid w:val="005B2349"/>
    <w:rsid w:val="005F11C7"/>
    <w:rsid w:val="006658FA"/>
    <w:rsid w:val="007C70B4"/>
    <w:rsid w:val="008107A5"/>
    <w:rsid w:val="008261C0"/>
    <w:rsid w:val="00867F25"/>
    <w:rsid w:val="009229F7"/>
    <w:rsid w:val="00954362"/>
    <w:rsid w:val="00960791"/>
    <w:rsid w:val="009618DC"/>
    <w:rsid w:val="00962BA4"/>
    <w:rsid w:val="009D3A9B"/>
    <w:rsid w:val="00A251F3"/>
    <w:rsid w:val="00A5271A"/>
    <w:rsid w:val="00AA2BF8"/>
    <w:rsid w:val="00AA2FB6"/>
    <w:rsid w:val="00AA462C"/>
    <w:rsid w:val="00AB5969"/>
    <w:rsid w:val="00AC2893"/>
    <w:rsid w:val="00AE6279"/>
    <w:rsid w:val="00B0305C"/>
    <w:rsid w:val="00B12FA7"/>
    <w:rsid w:val="00B30A20"/>
    <w:rsid w:val="00C0535F"/>
    <w:rsid w:val="00C143E3"/>
    <w:rsid w:val="00CD43DD"/>
    <w:rsid w:val="00D100B0"/>
    <w:rsid w:val="00D32D9E"/>
    <w:rsid w:val="00D97B14"/>
    <w:rsid w:val="00DC5E3B"/>
    <w:rsid w:val="00DD158C"/>
    <w:rsid w:val="00F63A0B"/>
    <w:rsid w:val="00FB6373"/>
    <w:rsid w:val="00FD0369"/>
    <w:rsid w:val="00F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F3FB"/>
  <w15:docId w15:val="{BF35F9FD-05C9-4AC3-85A5-5B862A3F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D158C"/>
    <w:rPr>
      <w:strike w:val="0"/>
      <w:dstrike w:val="0"/>
      <w:color w:val="FFFFFF"/>
      <w:u w:val="none"/>
      <w:effect w:val="none"/>
    </w:rPr>
  </w:style>
  <w:style w:type="paragraph" w:customStyle="1" w:styleId="widgetfooter1">
    <w:name w:val="widgetfooter1"/>
    <w:basedOn w:val="Normal"/>
    <w:rsid w:val="00DD158C"/>
    <w:pPr>
      <w:spacing w:after="0" w:line="240" w:lineRule="auto"/>
    </w:pPr>
    <w:rPr>
      <w:rFonts w:ascii="Arial" w:eastAsia="Times New Roman" w:hAnsi="Arial" w:cs="Arial"/>
      <w:color w:val="4B4627"/>
      <w:sz w:val="17"/>
      <w:szCs w:val="17"/>
      <w:lang w:eastAsia="en-GB"/>
    </w:rPr>
  </w:style>
  <w:style w:type="paragraph" w:styleId="ListParagraph">
    <w:name w:val="List Paragraph"/>
    <w:basedOn w:val="Normal"/>
    <w:uiPriority w:val="34"/>
    <w:qFormat/>
    <w:rsid w:val="00D10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0"/>
    <w:rPr>
      <w:rFonts w:ascii="Segoe UI" w:hAnsi="Segoe UI" w:cs="Segoe UI"/>
      <w:sz w:val="18"/>
      <w:szCs w:val="18"/>
    </w:rPr>
  </w:style>
  <w:style w:type="character" w:customStyle="1" w:styleId="sectionname2">
    <w:name w:val="sectionname2"/>
    <w:basedOn w:val="DefaultParagraphFont"/>
    <w:rsid w:val="00954362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0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stats.direct.gov.uk/Subjects/Overview/10000754FT-VA1HE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Levi, Vesna</dc:creator>
  <cp:lastModifiedBy>Liam Fitzgerald</cp:lastModifiedBy>
  <cp:revision>5</cp:revision>
  <cp:lastPrinted>2015-05-05T11:05:00Z</cp:lastPrinted>
  <dcterms:created xsi:type="dcterms:W3CDTF">2021-02-11T09:11:00Z</dcterms:created>
  <dcterms:modified xsi:type="dcterms:W3CDTF">2021-02-21T10:32:00Z</dcterms:modified>
</cp:coreProperties>
</file>